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3D" w:rsidRPr="001C703D" w:rsidRDefault="001C703D" w:rsidP="001C703D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color w:val="222222"/>
          <w:sz w:val="26"/>
          <w:szCs w:val="26"/>
          <w:lang w:eastAsia="sk-SK"/>
        </w:rPr>
      </w:pP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Nový zákon o ochrane spotrebiteľa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 (zákon č. 108/2024 Z. z.), účinný od 1. júla 2024, </w:t>
      </w:r>
      <w:r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prináša</w:t>
      </w: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 xml:space="preserve"> zmeny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, ktoré sa dotknú rôznych odvetví vrátane realitných kancelárií a mak</w:t>
      </w:r>
      <w:bookmarkStart w:id="0" w:name="_GoBack"/>
      <w:bookmarkEnd w:id="0"/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lérov.</w:t>
      </w:r>
    </w:p>
    <w:p w:rsidR="001C703D" w:rsidRPr="001C703D" w:rsidRDefault="001C703D" w:rsidP="001C703D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color w:val="222222"/>
          <w:sz w:val="26"/>
          <w:szCs w:val="26"/>
          <w:lang w:eastAsia="sk-SK"/>
        </w:rPr>
      </w:pP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Tento zákon modernizuje a zjednodušuje existujúcu spotrebiteľskú legislatívu, pričom reflektuje požiadavky vyplývajúce z európskych smerníc. Nasledujúci prehľad sa zameriava na konkrétne dopady pre realitný sektor.</w:t>
      </w:r>
    </w:p>
    <w:p w:rsidR="001C703D" w:rsidRPr="001C703D" w:rsidRDefault="001C703D" w:rsidP="001C703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  <w:r w:rsidRPr="001C703D">
        <w:rPr>
          <w:rFonts w:ascii="Arial" w:eastAsia="Times New Roman" w:hAnsi="Arial" w:cs="Arial"/>
          <w:b/>
          <w:bCs/>
          <w:color w:val="DABD46"/>
          <w:sz w:val="33"/>
          <w:szCs w:val="33"/>
          <w:lang w:eastAsia="sk-SK"/>
        </w:rPr>
        <w:t>ZVÝŠENÁ INFORMAČNÁ POVINNOSŤ</w:t>
      </w:r>
    </w:p>
    <w:p w:rsidR="001C703D" w:rsidRPr="001C703D" w:rsidRDefault="001C703D" w:rsidP="001C703D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color w:val="222222"/>
          <w:sz w:val="26"/>
          <w:szCs w:val="26"/>
          <w:lang w:eastAsia="sk-SK"/>
        </w:rPr>
      </w:pP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Realitné kancelárie a makléri budú musieť poskytovať podrobnejšie informácie pri uzatváraní zmlúv s klientmi. Toto zahŕňa:</w:t>
      </w:r>
    </w:p>
    <w:p w:rsidR="001C703D" w:rsidRPr="001C703D" w:rsidRDefault="001C703D" w:rsidP="001C703D">
      <w:pPr>
        <w:numPr>
          <w:ilvl w:val="0"/>
          <w:numId w:val="1"/>
        </w:num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color w:val="222222"/>
          <w:sz w:val="26"/>
          <w:szCs w:val="26"/>
          <w:lang w:eastAsia="sk-SK"/>
        </w:rPr>
      </w:pP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vyššie nároky na text inzerátov a transparentnosť cien: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 Pri propagácii nehnuteľností sa musia </w:t>
      </w: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okrem dôsledných a pravdivých informácií uvádzať reálnu a úplnú cenu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, teda aj </w:t>
      </w: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vrátane provízie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, čím sa predíde skrytým nákladom a zavádzaniu klientov (týka sa to najmä uvádzanie cien nehnuteľností bez provízie a pod.). Ak sa uvádza</w:t>
      </w: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 cena nájomného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, v texte – v tele inzerátu je potrebné </w:t>
      </w: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uviesť aj sumu za energie pre počet osôb</w:t>
      </w:r>
      <w:r>
        <w:rPr>
          <w:rFonts w:ascii="Arial" w:eastAsia="Times New Roman" w:hAnsi="Arial" w:cs="Arial"/>
          <w:color w:val="222222"/>
          <w:sz w:val="26"/>
          <w:szCs w:val="26"/>
          <w:lang w:eastAsia="sk-SK"/>
        </w:rPr>
        <w:t>,</w:t>
      </w:r>
    </w:p>
    <w:p w:rsidR="001C703D" w:rsidRPr="001C703D" w:rsidRDefault="001C703D" w:rsidP="001C703D">
      <w:pPr>
        <w:numPr>
          <w:ilvl w:val="0"/>
          <w:numId w:val="1"/>
        </w:num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color w:val="222222"/>
          <w:sz w:val="26"/>
          <w:szCs w:val="26"/>
          <w:lang w:eastAsia="sk-SK"/>
        </w:rPr>
      </w:pP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detailné informácie o realitných službách: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 musia jasne </w:t>
      </w: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definovať rozsah svojich služieb, ceny a všetky súvisiace poplatky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, aby sa predišlo nedorozumeniam a možným sťažnostiam zo strany klientov – spotrebiteľov,</w:t>
      </w:r>
    </w:p>
    <w:p w:rsidR="001C703D" w:rsidRPr="001C703D" w:rsidRDefault="001C703D" w:rsidP="001776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informácia o alternatívnom riešení sporov na webovej stránke –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 zákon vyžaduje, aby každá realitná kancelária, ktorá ma webovú stránku, na svojej stránke </w:t>
      </w: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uviedla informácie o možnosti alternatívneho riešenia sporov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 xml:space="preserve"> v zmysle zákona 391/2015 Z. z. </w:t>
      </w:r>
    </w:p>
    <w:p w:rsidR="001C703D" w:rsidRPr="001C703D" w:rsidRDefault="001C703D" w:rsidP="001C703D">
      <w:pPr>
        <w:shd w:val="clear" w:color="auto" w:fill="FFFFFF"/>
        <w:spacing w:before="100" w:beforeAutospacing="1" w:after="100" w:afterAutospacing="1" w:line="240" w:lineRule="auto"/>
        <w:ind w:left="720"/>
        <w:outlineLvl w:val="3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  <w:r w:rsidRPr="001C703D">
        <w:rPr>
          <w:rFonts w:ascii="Arial" w:eastAsia="Times New Roman" w:hAnsi="Arial" w:cs="Arial"/>
          <w:b/>
          <w:bCs/>
          <w:color w:val="DABD46"/>
          <w:sz w:val="33"/>
          <w:szCs w:val="33"/>
          <w:lang w:eastAsia="sk-SK"/>
        </w:rPr>
        <w:t>OCHRANA SPOTREBITEĽOV  </w:t>
      </w:r>
    </w:p>
    <w:p w:rsidR="001C703D" w:rsidRPr="001C703D" w:rsidRDefault="001C703D" w:rsidP="001C703D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color w:val="222222"/>
          <w:sz w:val="26"/>
          <w:szCs w:val="26"/>
          <w:lang w:eastAsia="sk-SK"/>
        </w:rPr>
      </w:pP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Realitné kancelárie budú musieť zabezpečiť vyššiu ochranu spotrebiteľov pri objednávaní služieb „na diaľku“. To zahŕňa:</w:t>
      </w:r>
    </w:p>
    <w:p w:rsidR="001C703D" w:rsidRPr="001C703D" w:rsidRDefault="001C703D" w:rsidP="001C703D">
      <w:pPr>
        <w:numPr>
          <w:ilvl w:val="0"/>
          <w:numId w:val="2"/>
        </w:num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color w:val="222222"/>
          <w:sz w:val="26"/>
          <w:szCs w:val="26"/>
          <w:lang w:eastAsia="sk-SK"/>
        </w:rPr>
      </w:pP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Zákaz zavádzajúcich praktík: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 Zákon zavádza prísnejšie pravidlá na </w:t>
      </w: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ochranu pred zavádzajúcimi a klamlivými obchodnými praktikami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, ako sú nepravdivé recenzie​ a pod. Podrobnejšie vymenúva nekalé obchodné praktiky, klamlivé konanie, agresívne obchodné praktiky (§ 9 až 12).</w:t>
      </w:r>
    </w:p>
    <w:p w:rsidR="001C703D" w:rsidRPr="001C703D" w:rsidRDefault="001C703D" w:rsidP="001C703D">
      <w:pPr>
        <w:numPr>
          <w:ilvl w:val="0"/>
          <w:numId w:val="2"/>
        </w:num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color w:val="222222"/>
          <w:sz w:val="26"/>
          <w:szCs w:val="26"/>
          <w:lang w:eastAsia="sk-SK"/>
        </w:rPr>
      </w:pP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Právo na odstúpenie od zmluvy: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 Jedným z opatrení je aj </w:t>
      </w: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predĺženie lehoty na odstúpenie od zmluvy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 bez uvedenia dôvodu z 14 na 30 dní. Toto predĺženie sa týka zmlúv uzavretých </w:t>
      </w: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počas nevyžiadanej návštevy obchodníka (makléra) v domácnosti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 xml:space="preserve"> spotrebiteľa alebo pri organizovaných predajných akciách, čo je pri realitnom biznise skôr výnimka​. V realitnej praxi prebieha náborová obhliadka nehnuteľnosti 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lastRenderedPageBreak/>
        <w:t>s uzatvorením sprostredkovateľskej zmluvy až po predchádzajúcej dohode s klientom (spotrebiteľom), takže návšteva v takom prípade nie je nevyžiadaná.</w:t>
      </w:r>
    </w:p>
    <w:p w:rsidR="001C703D" w:rsidRPr="001C703D" w:rsidRDefault="001C703D" w:rsidP="001C703D">
      <w:pPr>
        <w:numPr>
          <w:ilvl w:val="0"/>
          <w:numId w:val="2"/>
        </w:num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color w:val="222222"/>
          <w:sz w:val="26"/>
          <w:szCs w:val="26"/>
          <w:lang w:eastAsia="sk-SK"/>
        </w:rPr>
      </w:pP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Odborná starostlivosť – 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zákon definuje </w:t>
      </w: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požiadavky odbornej starostlivosti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, ktorú očakáva od obchodníka pri konaní vo vzťahu k spotrebiteľovi a </w:t>
      </w: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ktorá zodpovedá čestnej obchodnej praxi alebo všeobecnej zásade dobrej viery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 uplatňovanej v oblasti činnosti obchodníka, (§ 4 ods. 1 písm. i) zákona). Uvedené sa týka, jednak realitných kancelárií, ale aj realitných maklérov, ktorí vykonávajú činnosti pre realitnú kanceláriu. Odborná starostlivosť predpokladá teda rozsah odborných znalostí, ktoré realitný maklér musí ovládať.</w:t>
      </w:r>
    </w:p>
    <w:p w:rsidR="001C703D" w:rsidRPr="001C703D" w:rsidRDefault="001C703D" w:rsidP="001C703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  <w:r w:rsidRPr="001C703D">
        <w:rPr>
          <w:rFonts w:ascii="Arial" w:eastAsia="Times New Roman" w:hAnsi="Arial" w:cs="Arial"/>
          <w:b/>
          <w:bCs/>
          <w:color w:val="DABD46"/>
          <w:sz w:val="33"/>
          <w:szCs w:val="33"/>
          <w:lang w:eastAsia="sk-SK"/>
        </w:rPr>
        <w:t>MECHANIZMUS DRUHEJ ŠANCE</w:t>
      </w:r>
    </w:p>
    <w:p w:rsidR="001C703D" w:rsidRPr="001C703D" w:rsidRDefault="001C703D" w:rsidP="001C703D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color w:val="222222"/>
          <w:sz w:val="26"/>
          <w:szCs w:val="26"/>
          <w:lang w:eastAsia="sk-SK"/>
        </w:rPr>
      </w:pP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Pre podnikateľov, teda aj realitné kancelárie a maklérov bude zavedený mechanizmus druhej šance, ktorý </w:t>
      </w: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umožňuje dobrovoľne ukončiť porušovanie predpisov a uskutočniť nápravu bez hrozby vysokých sankcií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. Tento mechanizmus:</w:t>
      </w:r>
    </w:p>
    <w:p w:rsidR="001C703D" w:rsidRPr="001C703D" w:rsidRDefault="001C703D" w:rsidP="001C703D">
      <w:pPr>
        <w:numPr>
          <w:ilvl w:val="0"/>
          <w:numId w:val="3"/>
        </w:num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color w:val="222222"/>
          <w:sz w:val="26"/>
          <w:szCs w:val="26"/>
          <w:lang w:eastAsia="sk-SK"/>
        </w:rPr>
      </w:pP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Motivuje k dodržiavaniu pravidiel: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 Týmto spôsobom zákon motivuje obchodníkov k dodržiavaniu právnych predpisov a k rýchlej náprave vzniknutých škôd​.</w:t>
      </w:r>
    </w:p>
    <w:p w:rsidR="001C703D" w:rsidRPr="001C703D" w:rsidRDefault="001C703D" w:rsidP="001C703D">
      <w:pPr>
        <w:numPr>
          <w:ilvl w:val="0"/>
          <w:numId w:val="3"/>
        </w:num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color w:val="222222"/>
          <w:sz w:val="26"/>
          <w:szCs w:val="26"/>
          <w:lang w:eastAsia="sk-SK"/>
        </w:rPr>
      </w:pP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Znižuje výšku sankcií: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 Ak realitná kancelária alebo maklér dobrovoľne odstráni nedostatky a odškodní klientov, môže sa vyhnúť vysokým pokutám alebo znížiť ich výšku​.</w:t>
      </w:r>
    </w:p>
    <w:p w:rsidR="001C703D" w:rsidRPr="001C703D" w:rsidRDefault="001C703D" w:rsidP="001C703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  <w:r w:rsidRPr="001C703D">
        <w:rPr>
          <w:rFonts w:ascii="Arial" w:eastAsia="Times New Roman" w:hAnsi="Arial" w:cs="Arial"/>
          <w:b/>
          <w:bCs/>
          <w:color w:val="DABD46"/>
          <w:sz w:val="33"/>
          <w:szCs w:val="33"/>
          <w:lang w:eastAsia="sk-SK"/>
        </w:rPr>
        <w:t>VYLEPŠENIE DOHĽADU A SANKCIÍ</w:t>
      </w:r>
    </w:p>
    <w:p w:rsidR="001C703D" w:rsidRPr="001C703D" w:rsidRDefault="001C703D" w:rsidP="001C703D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color w:val="222222"/>
          <w:sz w:val="26"/>
          <w:szCs w:val="26"/>
          <w:lang w:eastAsia="sk-SK"/>
        </w:rPr>
      </w:pP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Nový zákon </w:t>
      </w: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posilňuje kompetencie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 orgánov dohľadu a </w:t>
      </w: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zavádza nové zásady ukladania sankcií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. Horná hranice peňažnej sankcie sa zvýšila až na </w:t>
      </w: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200.000 eur.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 Pre realitné kancelárie to znamená:</w:t>
      </w:r>
    </w:p>
    <w:p w:rsidR="001C703D" w:rsidRPr="001C703D" w:rsidRDefault="001C703D" w:rsidP="001C703D">
      <w:pPr>
        <w:numPr>
          <w:ilvl w:val="0"/>
          <w:numId w:val="4"/>
        </w:num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color w:val="222222"/>
          <w:sz w:val="26"/>
          <w:szCs w:val="26"/>
          <w:lang w:eastAsia="sk-SK"/>
        </w:rPr>
      </w:pP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Jasnejšie pravidlá dohľadu: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 Orgány dohľadu budú mať jasne vymedzené kompetencie, čím sa znížia kompetenčné konflikty a zvýši efektívnosť kontrol​.</w:t>
      </w:r>
    </w:p>
    <w:p w:rsidR="001C703D" w:rsidRPr="001C703D" w:rsidRDefault="001C703D" w:rsidP="001C703D">
      <w:pPr>
        <w:numPr>
          <w:ilvl w:val="0"/>
          <w:numId w:val="4"/>
        </w:num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color w:val="222222"/>
          <w:sz w:val="26"/>
          <w:szCs w:val="26"/>
          <w:lang w:eastAsia="sk-SK"/>
        </w:rPr>
      </w:pP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Spravodlivejšie sankcie: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 Pokuty budú určované ako percento z obratu, čo má zabezpečiť spravodlivejšie a proporcionálnejšie trestanie.</w:t>
      </w:r>
    </w:p>
    <w:p w:rsidR="001C703D" w:rsidRPr="001C703D" w:rsidRDefault="001C703D" w:rsidP="001C703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  <w:r w:rsidRPr="001C703D">
        <w:rPr>
          <w:rFonts w:ascii="Arial" w:eastAsia="Times New Roman" w:hAnsi="Arial" w:cs="Arial"/>
          <w:b/>
          <w:bCs/>
          <w:color w:val="DABD46"/>
          <w:sz w:val="33"/>
          <w:szCs w:val="33"/>
          <w:lang w:eastAsia="sk-SK"/>
        </w:rPr>
        <w:t>ZÁVER</w:t>
      </w:r>
    </w:p>
    <w:p w:rsidR="001C703D" w:rsidRPr="001C703D" w:rsidRDefault="001C703D" w:rsidP="001C703D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color w:val="222222"/>
          <w:sz w:val="26"/>
          <w:szCs w:val="26"/>
          <w:lang w:eastAsia="sk-SK"/>
        </w:rPr>
      </w:pP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Nový zákon č. 108/2024 Z. z. prináša pre realitné kancelárie a maklérov zmeny, ktoré </w:t>
      </w: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zvyšujú ochranu spotrebiteľov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 a majú potenciál </w:t>
      </w:r>
      <w:r w:rsidRPr="001C703D">
        <w:rPr>
          <w:rFonts w:ascii="Arial" w:eastAsia="Times New Roman" w:hAnsi="Arial" w:cs="Arial"/>
          <w:b/>
          <w:bCs/>
          <w:color w:val="222222"/>
          <w:sz w:val="26"/>
          <w:szCs w:val="26"/>
          <w:lang w:eastAsia="sk-SK"/>
        </w:rPr>
        <w:t>prispieť aj k zlepšeniu realitného trhu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. Pozitívny vplyv sa dá očakávať aj pri inzercii.</w:t>
      </w:r>
    </w:p>
    <w:p w:rsidR="001C703D" w:rsidRPr="001C703D" w:rsidRDefault="001C703D" w:rsidP="001C703D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color w:val="222222"/>
          <w:sz w:val="26"/>
          <w:szCs w:val="26"/>
          <w:lang w:eastAsia="sk-SK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sk-SK"/>
        </w:rPr>
        <w:lastRenderedPageBreak/>
        <w:t xml:space="preserve">Dňa 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1. 7. 2024 spracoval: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br/>
        <w:t xml:space="preserve">JUDr. Mojmír Plavec, PhD., </w:t>
      </w:r>
      <w:proofErr w:type="spellStart"/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RSc</w:t>
      </w:r>
      <w:proofErr w:type="spellEnd"/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t>.</w:t>
      </w:r>
      <w:r w:rsidRPr="001C703D">
        <w:rPr>
          <w:rFonts w:ascii="Arial" w:eastAsia="Times New Roman" w:hAnsi="Arial" w:cs="Arial"/>
          <w:color w:val="222222"/>
          <w:sz w:val="26"/>
          <w:szCs w:val="26"/>
          <w:lang w:eastAsia="sk-SK"/>
        </w:rPr>
        <w:br/>
        <w:t>advokát a tajomník Realitnej únie SR</w:t>
      </w:r>
    </w:p>
    <w:p w:rsidR="001C703D" w:rsidRPr="001C703D" w:rsidRDefault="001C703D" w:rsidP="001C70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sk-SK"/>
        </w:rPr>
      </w:pPr>
      <w:r w:rsidRPr="001C703D">
        <w:rPr>
          <w:rFonts w:ascii="Helvetica" w:eastAsia="Times New Roman" w:hAnsi="Helvetica" w:cs="Helvetica"/>
          <w:color w:val="444444"/>
          <w:sz w:val="21"/>
          <w:szCs w:val="21"/>
          <w:lang w:eastAsia="sk-SK"/>
        </w:rPr>
        <w:t>Zdroj:</w:t>
      </w:r>
      <w:r w:rsidRPr="001C703D">
        <w:rPr>
          <w:rFonts w:ascii="Helvetica" w:eastAsia="Times New Roman" w:hAnsi="Helvetica" w:cs="Helvetica"/>
          <w:color w:val="444444"/>
          <w:sz w:val="21"/>
          <w:szCs w:val="21"/>
          <w:lang w:eastAsia="sk-SK"/>
        </w:rPr>
        <w:br/>
      </w:r>
      <w:hyperlink r:id="rId5" w:history="1">
        <w:r w:rsidRPr="001C703D">
          <w:rPr>
            <w:rFonts w:ascii="Helvetica" w:eastAsia="Times New Roman" w:hAnsi="Helvetica" w:cs="Helvetica"/>
            <w:color w:val="9A0000"/>
            <w:sz w:val="21"/>
            <w:szCs w:val="21"/>
            <w:u w:val="single"/>
            <w:lang w:eastAsia="sk-SK"/>
          </w:rPr>
          <w:t>https://www.slov-lex.sk/pravne-predpisy/SK/ZZ/2024/108/20240701</w:t>
        </w:r>
      </w:hyperlink>
    </w:p>
    <w:p w:rsidR="00855A9A" w:rsidRDefault="00855A9A"/>
    <w:sectPr w:rsidR="00855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C54C0"/>
    <w:multiLevelType w:val="multilevel"/>
    <w:tmpl w:val="0F7A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F36F20"/>
    <w:multiLevelType w:val="multilevel"/>
    <w:tmpl w:val="C372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044779"/>
    <w:multiLevelType w:val="multilevel"/>
    <w:tmpl w:val="7892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515000"/>
    <w:multiLevelType w:val="multilevel"/>
    <w:tmpl w:val="C15A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3D"/>
    <w:rsid w:val="001C703D"/>
    <w:rsid w:val="0085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155B"/>
  <w15:chartTrackingRefBased/>
  <w15:docId w15:val="{20ED4361-A721-4DF9-8316-472B7B3E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1C70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6">
    <w:name w:val="heading 6"/>
    <w:basedOn w:val="Normlny"/>
    <w:link w:val="Nadpis6Char"/>
    <w:uiPriority w:val="9"/>
    <w:qFormat/>
    <w:rsid w:val="001C703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1C703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1C703D"/>
    <w:rPr>
      <w:rFonts w:ascii="Times New Roman" w:eastAsia="Times New Roman" w:hAnsi="Times New Roman" w:cs="Times New Roman"/>
      <w:b/>
      <w:bCs/>
      <w:sz w:val="15"/>
      <w:szCs w:val="15"/>
      <w:lang w:eastAsia="sk-SK"/>
    </w:rPr>
  </w:style>
  <w:style w:type="character" w:styleId="Siln">
    <w:name w:val="Strong"/>
    <w:basedOn w:val="Predvolenpsmoodseku"/>
    <w:uiPriority w:val="22"/>
    <w:qFormat/>
    <w:rsid w:val="001C703D"/>
    <w:rPr>
      <w:b/>
      <w:bCs/>
    </w:rPr>
  </w:style>
  <w:style w:type="character" w:styleId="Zvraznenie">
    <w:name w:val="Emphasis"/>
    <w:basedOn w:val="Predvolenpsmoodseku"/>
    <w:uiPriority w:val="20"/>
    <w:qFormat/>
    <w:rsid w:val="001C703D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1C703D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1C7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2024/108/202407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Holestiak</dc:creator>
  <cp:keywords/>
  <dc:description/>
  <cp:lastModifiedBy>Pavol Holestiak</cp:lastModifiedBy>
  <cp:revision>1</cp:revision>
  <dcterms:created xsi:type="dcterms:W3CDTF">2024-07-03T10:50:00Z</dcterms:created>
  <dcterms:modified xsi:type="dcterms:W3CDTF">2024-07-03T10:52:00Z</dcterms:modified>
</cp:coreProperties>
</file>